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49186" w14:textId="1E91C2EA" w:rsidR="0029773A" w:rsidRPr="00802B6D" w:rsidRDefault="0029773A" w:rsidP="00802B6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2B6D">
        <w:rPr>
          <w:rFonts w:ascii="Times New Roman" w:hAnsi="Times New Roman" w:cs="Times New Roman"/>
          <w:b/>
          <w:bCs/>
          <w:sz w:val="24"/>
          <w:szCs w:val="24"/>
        </w:rPr>
        <w:t>Frequently Asked Questions (FAQs)</w:t>
      </w:r>
    </w:p>
    <w:p w14:paraId="5507613A" w14:textId="71A8B51D" w:rsidR="00C75988" w:rsidRPr="00802B6D" w:rsidRDefault="00C75988" w:rsidP="00802B6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2B6D">
        <w:rPr>
          <w:rFonts w:ascii="Times New Roman" w:hAnsi="Times New Roman" w:cs="Times New Roman"/>
          <w:b/>
          <w:bCs/>
          <w:sz w:val="24"/>
          <w:szCs w:val="24"/>
        </w:rPr>
        <w:t>What is Non-Ionising Radiation</w:t>
      </w:r>
      <w:r w:rsidR="009C0951" w:rsidRPr="00802B6D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A62763F" w14:textId="0CDA5A2E" w:rsidR="00C75988" w:rsidRPr="00802B6D" w:rsidRDefault="00C75988" w:rsidP="00802B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>Non-ionising radiation</w:t>
      </w:r>
      <w:r w:rsidR="00986C88" w:rsidRPr="00802B6D">
        <w:rPr>
          <w:rFonts w:ascii="Times New Roman" w:hAnsi="Times New Roman" w:cs="Times New Roman"/>
          <w:sz w:val="24"/>
          <w:szCs w:val="24"/>
        </w:rPr>
        <w:t xml:space="preserve"> (NIR)</w:t>
      </w:r>
      <w:r w:rsidRPr="00802B6D">
        <w:rPr>
          <w:rFonts w:ascii="Times New Roman" w:hAnsi="Times New Roman" w:cs="Times New Roman"/>
          <w:sz w:val="24"/>
          <w:szCs w:val="24"/>
        </w:rPr>
        <w:t xml:space="preserve"> includes radio waves, microwaves, infrared, visible light, and ultraviolet (UV). It does not have enough energy to remove electrons from atoms.</w:t>
      </w:r>
    </w:p>
    <w:p w14:paraId="44452E8A" w14:textId="77777777" w:rsidR="00DE1318" w:rsidRPr="00802B6D" w:rsidRDefault="00DE1318" w:rsidP="00802B6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354C7" w14:textId="7CB425AE" w:rsidR="008A4FDE" w:rsidRPr="00802B6D" w:rsidRDefault="0029773A" w:rsidP="00802B6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2B6D">
        <w:rPr>
          <w:rFonts w:ascii="Times New Roman" w:hAnsi="Times New Roman" w:cs="Times New Roman"/>
          <w:b/>
          <w:bCs/>
          <w:sz w:val="24"/>
          <w:szCs w:val="24"/>
        </w:rPr>
        <w:t>What are the s</w:t>
      </w:r>
      <w:r w:rsidR="00DE1318" w:rsidRPr="00802B6D">
        <w:rPr>
          <w:rFonts w:ascii="Times New Roman" w:hAnsi="Times New Roman" w:cs="Times New Roman"/>
          <w:b/>
          <w:bCs/>
          <w:sz w:val="24"/>
          <w:szCs w:val="24"/>
        </w:rPr>
        <w:t>ources</w:t>
      </w:r>
      <w:r w:rsidRPr="00802B6D">
        <w:rPr>
          <w:rFonts w:ascii="Times New Roman" w:hAnsi="Times New Roman" w:cs="Times New Roman"/>
          <w:b/>
          <w:bCs/>
          <w:sz w:val="24"/>
          <w:szCs w:val="24"/>
        </w:rPr>
        <w:t xml:space="preserve"> of NIR</w:t>
      </w:r>
      <w:r w:rsidR="009C0951" w:rsidRPr="00802B6D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1EB45DC" w14:textId="2FC248FD" w:rsidR="008A4FDE" w:rsidRPr="00802B6D" w:rsidRDefault="008A4FDE" w:rsidP="00802B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 xml:space="preserve">The </w:t>
      </w:r>
      <w:r w:rsidR="003C117C" w:rsidRPr="00802B6D">
        <w:rPr>
          <w:rFonts w:ascii="Times New Roman" w:hAnsi="Times New Roman" w:cs="Times New Roman"/>
          <w:sz w:val="24"/>
          <w:szCs w:val="24"/>
        </w:rPr>
        <w:t>Non-Ionising Radiation Regulations: Atomic Energy and Radiation Protection Act, 2005</w:t>
      </w:r>
      <w:r w:rsidR="00986C88" w:rsidRPr="00802B6D">
        <w:rPr>
          <w:rFonts w:ascii="Times New Roman" w:hAnsi="Times New Roman" w:cs="Times New Roman"/>
          <w:sz w:val="24"/>
          <w:szCs w:val="24"/>
        </w:rPr>
        <w:t>,</w:t>
      </w:r>
      <w:r w:rsidR="00A45ABE" w:rsidRPr="00802B6D">
        <w:rPr>
          <w:rFonts w:ascii="Times New Roman" w:hAnsi="Times New Roman" w:cs="Times New Roman"/>
          <w:sz w:val="24"/>
          <w:szCs w:val="24"/>
        </w:rPr>
        <w:t xml:space="preserve"> </w:t>
      </w:r>
      <w:r w:rsidRPr="00802B6D">
        <w:rPr>
          <w:rFonts w:ascii="Times New Roman" w:hAnsi="Times New Roman" w:cs="Times New Roman"/>
          <w:sz w:val="24"/>
          <w:szCs w:val="24"/>
        </w:rPr>
        <w:t>apply to non-ionising radiation sources in the frequency range of 0 to 300 GHz</w:t>
      </w:r>
      <w:r w:rsidR="003C117C" w:rsidRPr="00802B6D">
        <w:rPr>
          <w:rFonts w:ascii="Times New Roman" w:hAnsi="Times New Roman" w:cs="Times New Roman"/>
          <w:sz w:val="24"/>
          <w:szCs w:val="24"/>
        </w:rPr>
        <w:t>.</w:t>
      </w:r>
    </w:p>
    <w:p w14:paraId="7C440DF4" w14:textId="312255CC" w:rsidR="008A4FDE" w:rsidRPr="00802B6D" w:rsidRDefault="003C117C" w:rsidP="00802B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>T</w:t>
      </w:r>
      <w:r w:rsidR="008A4FDE" w:rsidRPr="00802B6D">
        <w:rPr>
          <w:rFonts w:ascii="Times New Roman" w:hAnsi="Times New Roman" w:cs="Times New Roman"/>
          <w:sz w:val="24"/>
          <w:szCs w:val="24"/>
        </w:rPr>
        <w:t>he non-ionising radiation sources to which these regulations apply are</w:t>
      </w:r>
      <w:r w:rsidR="00A45ABE" w:rsidRPr="00802B6D">
        <w:rPr>
          <w:rFonts w:ascii="Times New Roman" w:hAnsi="Times New Roman" w:cs="Times New Roman"/>
          <w:sz w:val="24"/>
          <w:szCs w:val="24"/>
        </w:rPr>
        <w:t>:</w:t>
      </w:r>
    </w:p>
    <w:p w14:paraId="5205A2E4" w14:textId="3F346D1B" w:rsidR="008A4FDE" w:rsidRPr="00802B6D" w:rsidRDefault="008A4FDE" w:rsidP="00802B6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 xml:space="preserve">telecommunications and broadcasting installations which are </w:t>
      </w:r>
    </w:p>
    <w:p w14:paraId="0F92265B" w14:textId="77777777" w:rsidR="003C117C" w:rsidRPr="00802B6D" w:rsidRDefault="008A4FDE" w:rsidP="00802B6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 xml:space="preserve">TV antenna towers; </w:t>
      </w:r>
    </w:p>
    <w:p w14:paraId="599FE6C6" w14:textId="77777777" w:rsidR="003C117C" w:rsidRPr="00802B6D" w:rsidRDefault="008A4FDE" w:rsidP="00802B6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 xml:space="preserve">radio antenna towers; </w:t>
      </w:r>
    </w:p>
    <w:p w14:paraId="4DF686C6" w14:textId="77777777" w:rsidR="003C117C" w:rsidRPr="00802B6D" w:rsidRDefault="008A4FDE" w:rsidP="00802B6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 xml:space="preserve">cellular base stations; and </w:t>
      </w:r>
    </w:p>
    <w:p w14:paraId="6396CF41" w14:textId="0D424A1B" w:rsidR="008A4FDE" w:rsidRPr="00802B6D" w:rsidRDefault="008A4FDE" w:rsidP="00802B6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 xml:space="preserve">microwave dish antennas; </w:t>
      </w:r>
    </w:p>
    <w:p w14:paraId="13FD29B0" w14:textId="77777777" w:rsidR="003C117C" w:rsidRPr="00802B6D" w:rsidRDefault="008A4FDE" w:rsidP="00802B6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 xml:space="preserve">medical applications which are </w:t>
      </w:r>
    </w:p>
    <w:p w14:paraId="7405CFD6" w14:textId="77777777" w:rsidR="003C117C" w:rsidRPr="00802B6D" w:rsidRDefault="008A4FDE" w:rsidP="00802B6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 xml:space="preserve">magnetic resonance imaging (MRI); and </w:t>
      </w:r>
    </w:p>
    <w:p w14:paraId="7A4B79C4" w14:textId="046AEE37" w:rsidR="003C117C" w:rsidRPr="00802B6D" w:rsidRDefault="008A4FDE" w:rsidP="00802B6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 xml:space="preserve">diathermy and hyperthermia; </w:t>
      </w:r>
    </w:p>
    <w:p w14:paraId="48F282F0" w14:textId="7B8BA6D1" w:rsidR="003C117C" w:rsidRPr="00802B6D" w:rsidRDefault="008A4FDE" w:rsidP="00802B6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 xml:space="preserve">ultraviolet (UV) sun lamps; and </w:t>
      </w:r>
    </w:p>
    <w:p w14:paraId="5C8C8E66" w14:textId="544A36F1" w:rsidR="008D1343" w:rsidRPr="00802B6D" w:rsidRDefault="008A4FDE" w:rsidP="00802B6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>high power lasers.</w:t>
      </w:r>
    </w:p>
    <w:p w14:paraId="3E2A94A4" w14:textId="77777777" w:rsidR="001E3F3C" w:rsidRPr="00802B6D" w:rsidRDefault="001E3F3C" w:rsidP="00802B6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6C8AFF" w14:textId="1DE61A66" w:rsidR="00C75988" w:rsidRPr="00802B6D" w:rsidRDefault="0029773A" w:rsidP="00802B6D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2B6D">
        <w:rPr>
          <w:rFonts w:ascii="Times New Roman" w:hAnsi="Times New Roman" w:cs="Times New Roman"/>
          <w:b/>
          <w:bCs/>
          <w:sz w:val="24"/>
          <w:szCs w:val="24"/>
        </w:rPr>
        <w:t>What are the b</w:t>
      </w:r>
      <w:r w:rsidR="00C75988" w:rsidRPr="00802B6D">
        <w:rPr>
          <w:rFonts w:ascii="Times New Roman" w:hAnsi="Times New Roman" w:cs="Times New Roman"/>
          <w:b/>
          <w:bCs/>
          <w:sz w:val="24"/>
          <w:szCs w:val="24"/>
        </w:rPr>
        <w:t>iological effects</w:t>
      </w:r>
      <w:r w:rsidRPr="00802B6D">
        <w:rPr>
          <w:rFonts w:ascii="Times New Roman" w:hAnsi="Times New Roman" w:cs="Times New Roman"/>
          <w:b/>
          <w:bCs/>
          <w:sz w:val="24"/>
          <w:szCs w:val="24"/>
        </w:rPr>
        <w:t xml:space="preserve"> of NIR</w:t>
      </w:r>
      <w:r w:rsidR="009C0951" w:rsidRPr="00802B6D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EE2C808" w14:textId="77777777" w:rsidR="00C75988" w:rsidRPr="00802B6D" w:rsidRDefault="00C75988" w:rsidP="00802B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>Thermal Effects (Heating)</w:t>
      </w:r>
    </w:p>
    <w:p w14:paraId="1D20C216" w14:textId="77777777" w:rsidR="00C75988" w:rsidRPr="00802B6D" w:rsidRDefault="00C75988" w:rsidP="00802B6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>Microwaves and radiofrequency fields can cause heating of tissues.</w:t>
      </w:r>
    </w:p>
    <w:p w14:paraId="2D82BF6D" w14:textId="459BEFF1" w:rsidR="00C75988" w:rsidRPr="00802B6D" w:rsidRDefault="00C75988" w:rsidP="00802B6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>Localized heating may affect eyes or testes with prolonged exposure.</w:t>
      </w:r>
    </w:p>
    <w:p w14:paraId="0BF67751" w14:textId="77777777" w:rsidR="00C75988" w:rsidRPr="00802B6D" w:rsidRDefault="00C75988" w:rsidP="00802B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>Nerve &amp; Muscle Stimulation</w:t>
      </w:r>
    </w:p>
    <w:p w14:paraId="094C132E" w14:textId="77777777" w:rsidR="00C75988" w:rsidRPr="00802B6D" w:rsidRDefault="00C75988" w:rsidP="00802B6D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>Low-frequency electric and magnetic fields can stimulate nerves and muscles.</w:t>
      </w:r>
    </w:p>
    <w:p w14:paraId="401C608F" w14:textId="6EFA722F" w:rsidR="00C75988" w:rsidRPr="00802B6D" w:rsidRDefault="00C75988" w:rsidP="00802B6D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>This happens mostly in occupational settings where exposure is high.</w:t>
      </w:r>
    </w:p>
    <w:p w14:paraId="1BB12AA3" w14:textId="77777777" w:rsidR="00C75988" w:rsidRPr="00802B6D" w:rsidRDefault="00C75988" w:rsidP="00802B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>Skin &amp; Eye Damage (UV Radiation)</w:t>
      </w:r>
    </w:p>
    <w:p w14:paraId="76BD7D23" w14:textId="77777777" w:rsidR="00C75988" w:rsidRPr="00802B6D" w:rsidRDefault="00C75988" w:rsidP="00802B6D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>UV radiation can cause sunburn, premature aging, and in severe cases, skin cancer.</w:t>
      </w:r>
    </w:p>
    <w:p w14:paraId="5E76A452" w14:textId="77777777" w:rsidR="00C75988" w:rsidRPr="00802B6D" w:rsidRDefault="00C75988" w:rsidP="00802B6D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>It can also cause eye damage, such as photokeratitis (cornea burn).</w:t>
      </w:r>
    </w:p>
    <w:p w14:paraId="1C567B5A" w14:textId="77777777" w:rsidR="00C75988" w:rsidRPr="00802B6D" w:rsidRDefault="00C75988" w:rsidP="00802B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>Interference with Medical Devices</w:t>
      </w:r>
    </w:p>
    <w:p w14:paraId="3CC6E10B" w14:textId="77777777" w:rsidR="00C75988" w:rsidRPr="00802B6D" w:rsidRDefault="00C75988" w:rsidP="00802B6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>Magnetic fields can interfere with pacemakers and implanted devices.</w:t>
      </w:r>
    </w:p>
    <w:p w14:paraId="0E1D60E9" w14:textId="535A5F72" w:rsidR="00C75988" w:rsidRPr="00802B6D" w:rsidRDefault="00C75988" w:rsidP="00802B6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lastRenderedPageBreak/>
        <w:t>This is why safe distance and proper shielding are required.</w:t>
      </w:r>
    </w:p>
    <w:p w14:paraId="362E9535" w14:textId="77777777" w:rsidR="00E90C31" w:rsidRPr="00802B6D" w:rsidRDefault="00E90C31" w:rsidP="00802B6D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1384323" w14:textId="29618989" w:rsidR="00C75988" w:rsidRPr="00802B6D" w:rsidRDefault="0029773A" w:rsidP="00802B6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2B6D">
        <w:rPr>
          <w:rFonts w:ascii="Times New Roman" w:hAnsi="Times New Roman" w:cs="Times New Roman"/>
          <w:b/>
          <w:bCs/>
          <w:sz w:val="24"/>
          <w:szCs w:val="24"/>
        </w:rPr>
        <w:t xml:space="preserve">What are the </w:t>
      </w:r>
      <w:r w:rsidR="007C691D" w:rsidRPr="00802B6D">
        <w:rPr>
          <w:rFonts w:ascii="Times New Roman" w:hAnsi="Times New Roman" w:cs="Times New Roman"/>
          <w:b/>
          <w:bCs/>
          <w:sz w:val="24"/>
          <w:szCs w:val="24"/>
        </w:rPr>
        <w:t xml:space="preserve">NIR Exposure </w:t>
      </w:r>
      <w:r w:rsidRPr="00802B6D">
        <w:rPr>
          <w:rFonts w:ascii="Times New Roman" w:hAnsi="Times New Roman" w:cs="Times New Roman"/>
          <w:b/>
          <w:bCs/>
          <w:sz w:val="24"/>
          <w:szCs w:val="24"/>
        </w:rPr>
        <w:t>Limits</w:t>
      </w:r>
      <w:r w:rsidR="009C0951" w:rsidRPr="00802B6D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D912E4F" w14:textId="0F812412" w:rsidR="007C691D" w:rsidRPr="00802B6D" w:rsidRDefault="007C691D" w:rsidP="00802B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>The Non-Ionising Radiation Regulations adopt the</w:t>
      </w:r>
      <w:r w:rsidR="005A4300" w:rsidRPr="00802B6D">
        <w:rPr>
          <w:rFonts w:ascii="Times New Roman" w:hAnsi="Times New Roman" w:cs="Times New Roman"/>
          <w:sz w:val="24"/>
          <w:szCs w:val="24"/>
        </w:rPr>
        <w:t xml:space="preserve"> International Commission on Non-Ionizing Radiation Protection</w:t>
      </w:r>
      <w:r w:rsidRPr="00802B6D">
        <w:rPr>
          <w:rFonts w:ascii="Times New Roman" w:hAnsi="Times New Roman" w:cs="Times New Roman"/>
          <w:sz w:val="24"/>
          <w:szCs w:val="24"/>
        </w:rPr>
        <w:t xml:space="preserve"> </w:t>
      </w:r>
      <w:r w:rsidR="005A4300" w:rsidRPr="00802B6D">
        <w:rPr>
          <w:rFonts w:ascii="Times New Roman" w:hAnsi="Times New Roman" w:cs="Times New Roman"/>
          <w:sz w:val="24"/>
          <w:szCs w:val="24"/>
        </w:rPr>
        <w:t>(</w:t>
      </w:r>
      <w:r w:rsidRPr="00802B6D">
        <w:rPr>
          <w:rFonts w:ascii="Times New Roman" w:hAnsi="Times New Roman" w:cs="Times New Roman"/>
          <w:sz w:val="24"/>
          <w:szCs w:val="24"/>
        </w:rPr>
        <w:t>ICNIRP</w:t>
      </w:r>
      <w:r w:rsidR="005A4300" w:rsidRPr="00802B6D">
        <w:rPr>
          <w:rFonts w:ascii="Times New Roman" w:hAnsi="Times New Roman" w:cs="Times New Roman"/>
          <w:sz w:val="24"/>
          <w:szCs w:val="24"/>
        </w:rPr>
        <w:t>)</w:t>
      </w:r>
      <w:r w:rsidRPr="00802B6D">
        <w:rPr>
          <w:rFonts w:ascii="Times New Roman" w:hAnsi="Times New Roman" w:cs="Times New Roman"/>
          <w:sz w:val="24"/>
          <w:szCs w:val="24"/>
        </w:rPr>
        <w:t xml:space="preserve"> Guidelines for exposure limits. These limits are designed to prevent known adverse health effects such as tissue heating, nerve stimulation, or interference with medical devices.</w:t>
      </w:r>
    </w:p>
    <w:p w14:paraId="35AA5468" w14:textId="48761FA5" w:rsidR="007C691D" w:rsidRPr="00802B6D" w:rsidRDefault="007C691D" w:rsidP="00802B6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2B6D">
        <w:rPr>
          <w:rFonts w:ascii="Times New Roman" w:hAnsi="Times New Roman" w:cs="Times New Roman"/>
          <w:b/>
          <w:bCs/>
          <w:sz w:val="24"/>
          <w:szCs w:val="24"/>
        </w:rPr>
        <w:t>Public Exposure Limits</w:t>
      </w:r>
    </w:p>
    <w:p w14:paraId="6274ED1A" w14:textId="77777777" w:rsidR="007C691D" w:rsidRPr="00802B6D" w:rsidRDefault="007C691D" w:rsidP="00802B6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>Apply to people who are not occupationally exposed.</w:t>
      </w:r>
    </w:p>
    <w:p w14:paraId="40BDB569" w14:textId="19B1A9DF" w:rsidR="007C691D" w:rsidRPr="00802B6D" w:rsidRDefault="007C691D" w:rsidP="00802B6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>Example: For frequencies between 10 MHz and 300 GHz, power density must not exceed 10 W/m².</w:t>
      </w:r>
    </w:p>
    <w:p w14:paraId="4FCE8942" w14:textId="77777777" w:rsidR="005A4300" w:rsidRPr="00802B6D" w:rsidRDefault="005A4300" w:rsidP="00802B6D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8E55602" w14:textId="3554E18B" w:rsidR="007C691D" w:rsidRPr="00802B6D" w:rsidRDefault="007C691D" w:rsidP="00802B6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2B6D">
        <w:rPr>
          <w:rFonts w:ascii="Times New Roman" w:hAnsi="Times New Roman" w:cs="Times New Roman"/>
          <w:b/>
          <w:bCs/>
          <w:sz w:val="24"/>
          <w:szCs w:val="24"/>
        </w:rPr>
        <w:t>Occupational Exposure Limits</w:t>
      </w:r>
    </w:p>
    <w:p w14:paraId="212174E7" w14:textId="77777777" w:rsidR="007C691D" w:rsidRPr="00802B6D" w:rsidRDefault="007C691D" w:rsidP="00802B6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>Apply to trained workers with knowledge of radiation protection.</w:t>
      </w:r>
    </w:p>
    <w:p w14:paraId="56E22FEC" w14:textId="1E1949B8" w:rsidR="001E3F3C" w:rsidRDefault="007C691D" w:rsidP="00802B6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>Example: For the same frequency range (10 MHz – 300 GHz), power density must not exceed 50 W/m².</w:t>
      </w:r>
    </w:p>
    <w:p w14:paraId="4B2DDB34" w14:textId="77777777" w:rsidR="00802B6D" w:rsidRPr="00802B6D" w:rsidRDefault="00802B6D" w:rsidP="00802B6D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27CE08D" w14:textId="2D706E0B" w:rsidR="00C75988" w:rsidRPr="00802B6D" w:rsidRDefault="000C347D" w:rsidP="00802B6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2B6D">
        <w:rPr>
          <w:rFonts w:ascii="Times New Roman" w:hAnsi="Times New Roman" w:cs="Times New Roman"/>
          <w:b/>
          <w:bCs/>
          <w:sz w:val="24"/>
          <w:szCs w:val="24"/>
        </w:rPr>
        <w:t>What is expected of applicants/proponents?</w:t>
      </w:r>
    </w:p>
    <w:p w14:paraId="4D3A79F5" w14:textId="77777777" w:rsidR="005A4300" w:rsidRPr="00802B6D" w:rsidRDefault="005A4300" w:rsidP="00802B6D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3C6898" w14:textId="4746EB30" w:rsidR="001E4746" w:rsidRPr="00802B6D" w:rsidRDefault="005A4300" w:rsidP="00802B6D">
      <w:pPr>
        <w:pStyle w:val="ListParagraph"/>
        <w:numPr>
          <w:ilvl w:val="1"/>
          <w:numId w:val="2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2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4746" w:rsidRPr="00802B6D">
        <w:rPr>
          <w:rFonts w:ascii="Times New Roman" w:hAnsi="Times New Roman" w:cs="Times New Roman"/>
          <w:b/>
          <w:bCs/>
          <w:sz w:val="24"/>
          <w:szCs w:val="24"/>
        </w:rPr>
        <w:t>Establishing Exclusion Zones</w:t>
      </w:r>
    </w:p>
    <w:p w14:paraId="02B8E6CE" w14:textId="77777777" w:rsidR="001E4746" w:rsidRPr="00802B6D" w:rsidRDefault="00CB40F6" w:rsidP="00802B6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 xml:space="preserve">Applicants </w:t>
      </w:r>
      <w:r w:rsidR="001E4746" w:rsidRPr="00802B6D">
        <w:rPr>
          <w:rFonts w:ascii="Times New Roman" w:hAnsi="Times New Roman" w:cs="Times New Roman"/>
          <w:sz w:val="24"/>
          <w:szCs w:val="24"/>
        </w:rPr>
        <w:t>must use</w:t>
      </w:r>
      <w:r w:rsidRPr="00802B6D">
        <w:rPr>
          <w:rFonts w:ascii="Times New Roman" w:hAnsi="Times New Roman" w:cs="Times New Roman"/>
          <w:sz w:val="24"/>
          <w:szCs w:val="24"/>
        </w:rPr>
        <w:t xml:space="preserve"> mathematical calculations or appropriate modelling tools to determine exclusion zones for each antenna or device.</w:t>
      </w:r>
    </w:p>
    <w:p w14:paraId="252C8AC7" w14:textId="0D97FADE" w:rsidR="001E4746" w:rsidRPr="00802B6D" w:rsidRDefault="001E4746" w:rsidP="00802B6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>These zones are areas where electromagnetic field (EMF) exposure exceeds ICNIRP limits and must be restricted.</w:t>
      </w:r>
    </w:p>
    <w:p w14:paraId="38DF22A8" w14:textId="69491C50" w:rsidR="001E4746" w:rsidRPr="00802B6D" w:rsidRDefault="001E4746" w:rsidP="00802B6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 xml:space="preserve">Calculated boundaries must be submitted to the </w:t>
      </w:r>
      <w:r w:rsidR="001B1E43" w:rsidRPr="00802B6D">
        <w:rPr>
          <w:rFonts w:ascii="Times New Roman" w:hAnsi="Times New Roman" w:cs="Times New Roman"/>
          <w:sz w:val="24"/>
          <w:szCs w:val="24"/>
        </w:rPr>
        <w:t xml:space="preserve">National </w:t>
      </w:r>
      <w:r w:rsidRPr="00802B6D">
        <w:rPr>
          <w:rFonts w:ascii="Times New Roman" w:hAnsi="Times New Roman" w:cs="Times New Roman"/>
          <w:sz w:val="24"/>
          <w:szCs w:val="24"/>
        </w:rPr>
        <w:t>Radiation Protection Authority</w:t>
      </w:r>
      <w:r w:rsidR="005A4300" w:rsidRPr="00802B6D">
        <w:rPr>
          <w:rFonts w:ascii="Times New Roman" w:hAnsi="Times New Roman" w:cs="Times New Roman"/>
          <w:sz w:val="24"/>
          <w:szCs w:val="24"/>
        </w:rPr>
        <w:t>.</w:t>
      </w:r>
    </w:p>
    <w:p w14:paraId="34D012DD" w14:textId="77777777" w:rsidR="005A4300" w:rsidRPr="00802B6D" w:rsidRDefault="005A4300" w:rsidP="00802B6D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35577C8B" w14:textId="0323B77C" w:rsidR="001E4746" w:rsidRPr="00802B6D" w:rsidRDefault="005A4300" w:rsidP="00802B6D">
      <w:pPr>
        <w:pStyle w:val="ListParagraph"/>
        <w:numPr>
          <w:ilvl w:val="1"/>
          <w:numId w:val="2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2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4746" w:rsidRPr="00802B6D">
        <w:rPr>
          <w:rFonts w:ascii="Times New Roman" w:hAnsi="Times New Roman" w:cs="Times New Roman"/>
          <w:b/>
          <w:bCs/>
          <w:sz w:val="24"/>
          <w:szCs w:val="24"/>
        </w:rPr>
        <w:t>Implementing Safety Measures</w:t>
      </w:r>
    </w:p>
    <w:p w14:paraId="7851ABA6" w14:textId="77777777" w:rsidR="001E4746" w:rsidRPr="00802B6D" w:rsidRDefault="001E4746" w:rsidP="00802B6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>Reasonable and practicable engineering or administrative controls must be implemented to prevent access by workers and the public to areas where exposure may exceed limits.</w:t>
      </w:r>
    </w:p>
    <w:p w14:paraId="7032EBC3" w14:textId="7E60AB3A" w:rsidR="001E4746" w:rsidRPr="00802B6D" w:rsidRDefault="001E4746" w:rsidP="00802B6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>Controls include barriers, signage, and access restrictions.</w:t>
      </w:r>
    </w:p>
    <w:p w14:paraId="5D95CC60" w14:textId="77777777" w:rsidR="005A4300" w:rsidRPr="00802B6D" w:rsidRDefault="005A4300" w:rsidP="00802B6D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5169FF13" w14:textId="0C42B357" w:rsidR="001E4746" w:rsidRPr="00802B6D" w:rsidRDefault="005A4300" w:rsidP="00802B6D">
      <w:pPr>
        <w:pStyle w:val="ListParagraph"/>
        <w:numPr>
          <w:ilvl w:val="1"/>
          <w:numId w:val="2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2B6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1E4746" w:rsidRPr="00802B6D">
        <w:rPr>
          <w:rFonts w:ascii="Times New Roman" w:hAnsi="Times New Roman" w:cs="Times New Roman"/>
          <w:b/>
          <w:bCs/>
          <w:sz w:val="24"/>
          <w:szCs w:val="24"/>
        </w:rPr>
        <w:t>Registration</w:t>
      </w:r>
    </w:p>
    <w:p w14:paraId="3317F812" w14:textId="47BB0CA9" w:rsidR="001E4746" w:rsidRPr="00802B6D" w:rsidRDefault="001E4746" w:rsidP="00802B6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>All sites must be registered with the Authority in accordance with the Non-Ionising Radiation Regulations (Government Notice No. 126 of 2020)</w:t>
      </w:r>
      <w:r w:rsidR="005A4300" w:rsidRPr="00802B6D">
        <w:rPr>
          <w:rFonts w:ascii="Times New Roman" w:hAnsi="Times New Roman" w:cs="Times New Roman"/>
          <w:sz w:val="24"/>
          <w:szCs w:val="24"/>
        </w:rPr>
        <w:t>.</w:t>
      </w:r>
    </w:p>
    <w:p w14:paraId="6DE17C0B" w14:textId="77777777" w:rsidR="005A4300" w:rsidRPr="00802B6D" w:rsidRDefault="005A4300" w:rsidP="00802B6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C5609" w14:textId="75E6D949" w:rsidR="001E4746" w:rsidRPr="00802B6D" w:rsidRDefault="005A4300" w:rsidP="00802B6D">
      <w:pPr>
        <w:pStyle w:val="ListParagraph"/>
        <w:numPr>
          <w:ilvl w:val="1"/>
          <w:numId w:val="2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2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4746" w:rsidRPr="00802B6D">
        <w:rPr>
          <w:rFonts w:ascii="Times New Roman" w:hAnsi="Times New Roman" w:cs="Times New Roman"/>
          <w:b/>
          <w:bCs/>
          <w:sz w:val="24"/>
          <w:szCs w:val="24"/>
        </w:rPr>
        <w:t>Pre-Approval Required</w:t>
      </w:r>
    </w:p>
    <w:p w14:paraId="4475937D" w14:textId="3AAF539B" w:rsidR="001E4746" w:rsidRPr="00802B6D" w:rsidRDefault="001E4746" w:rsidP="00802B6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>Operators must obtain prior approval from the Authority before installation or operation of NIR sources.</w:t>
      </w:r>
    </w:p>
    <w:p w14:paraId="11B2A116" w14:textId="342ABDB2" w:rsidR="001E4746" w:rsidRPr="00802B6D" w:rsidRDefault="001E4746" w:rsidP="00802B6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>Approval is conditional on demonstrating compliance with applicable regulatory requirements.</w:t>
      </w:r>
    </w:p>
    <w:p w14:paraId="66BC2DDA" w14:textId="77777777" w:rsidR="005A4300" w:rsidRPr="00802B6D" w:rsidRDefault="005A4300" w:rsidP="00802B6D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0CDA7E32" w14:textId="05BDE02B" w:rsidR="001E4746" w:rsidRPr="00802B6D" w:rsidRDefault="001E4746" w:rsidP="00802B6D">
      <w:pPr>
        <w:pStyle w:val="ListParagraph"/>
        <w:numPr>
          <w:ilvl w:val="1"/>
          <w:numId w:val="2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2B6D">
        <w:rPr>
          <w:rFonts w:ascii="Times New Roman" w:hAnsi="Times New Roman" w:cs="Times New Roman"/>
          <w:b/>
          <w:bCs/>
          <w:sz w:val="24"/>
          <w:szCs w:val="24"/>
        </w:rPr>
        <w:t>Stay Up to Date</w:t>
      </w:r>
    </w:p>
    <w:p w14:paraId="3DA8041D" w14:textId="77777777" w:rsidR="00477F5F" w:rsidRPr="00802B6D" w:rsidRDefault="001E4746" w:rsidP="00802B6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>Operators are encouraged to refer to the latest ICNIRP publications.</w:t>
      </w:r>
    </w:p>
    <w:p w14:paraId="019CC583" w14:textId="078BE6E9" w:rsidR="00B40E04" w:rsidRPr="00802B6D" w:rsidRDefault="001E4746" w:rsidP="00802B6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6D">
        <w:rPr>
          <w:rFonts w:ascii="Times New Roman" w:hAnsi="Times New Roman" w:cs="Times New Roman"/>
          <w:sz w:val="24"/>
          <w:szCs w:val="24"/>
        </w:rPr>
        <w:t>Note: ICNIRP 1998 Guidelines have been superseded by ICNIRP 2020. Use the latest version when conducting assessments or reporting compliance</w:t>
      </w:r>
      <w:r w:rsidR="00477F5F" w:rsidRPr="00802B6D">
        <w:rPr>
          <w:rFonts w:ascii="Times New Roman" w:hAnsi="Times New Roman" w:cs="Times New Roman"/>
          <w:sz w:val="24"/>
          <w:szCs w:val="24"/>
        </w:rPr>
        <w:t>.</w:t>
      </w:r>
    </w:p>
    <w:p w14:paraId="1D262082" w14:textId="77777777" w:rsidR="005A4300" w:rsidRPr="005A4300" w:rsidRDefault="005A4300" w:rsidP="00802B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A4300" w:rsidRPr="005A4300" w:rsidSect="005A4300"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B8376" w14:textId="77777777" w:rsidR="007C1F47" w:rsidRDefault="007C1F47" w:rsidP="0029773A">
      <w:pPr>
        <w:spacing w:after="0" w:line="240" w:lineRule="auto"/>
      </w:pPr>
      <w:r>
        <w:separator/>
      </w:r>
    </w:p>
  </w:endnote>
  <w:endnote w:type="continuationSeparator" w:id="0">
    <w:p w14:paraId="4ADC0F2E" w14:textId="77777777" w:rsidR="007C1F47" w:rsidRDefault="007C1F47" w:rsidP="0029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82542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C148A6" w14:textId="632A7B31" w:rsidR="00802B6D" w:rsidRDefault="00802B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55CA86" w14:textId="77777777" w:rsidR="00802B6D" w:rsidRDefault="00802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B5CD5" w14:textId="77777777" w:rsidR="007C1F47" w:rsidRDefault="007C1F47" w:rsidP="0029773A">
      <w:pPr>
        <w:spacing w:after="0" w:line="240" w:lineRule="auto"/>
      </w:pPr>
      <w:r>
        <w:separator/>
      </w:r>
    </w:p>
  </w:footnote>
  <w:footnote w:type="continuationSeparator" w:id="0">
    <w:p w14:paraId="423EA081" w14:textId="77777777" w:rsidR="007C1F47" w:rsidRDefault="007C1F47" w:rsidP="00297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152BA"/>
    <w:multiLevelType w:val="hybridMultilevel"/>
    <w:tmpl w:val="057224AE"/>
    <w:lvl w:ilvl="0" w:tplc="342A9FF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30F06"/>
    <w:multiLevelType w:val="multilevel"/>
    <w:tmpl w:val="1BBE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61260"/>
    <w:multiLevelType w:val="hybridMultilevel"/>
    <w:tmpl w:val="0D689EC0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0E64CDA"/>
    <w:multiLevelType w:val="hybridMultilevel"/>
    <w:tmpl w:val="AF9EC43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45C0F"/>
    <w:multiLevelType w:val="multilevel"/>
    <w:tmpl w:val="E8C2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2A2BD1"/>
    <w:multiLevelType w:val="hybridMultilevel"/>
    <w:tmpl w:val="76FC3FA4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6ED6BE5"/>
    <w:multiLevelType w:val="multilevel"/>
    <w:tmpl w:val="1BD0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23CEC"/>
    <w:multiLevelType w:val="hybridMultilevel"/>
    <w:tmpl w:val="079C2B6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7571A8"/>
    <w:multiLevelType w:val="multilevel"/>
    <w:tmpl w:val="14D6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7A2FCD"/>
    <w:multiLevelType w:val="multilevel"/>
    <w:tmpl w:val="2AF67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8708E7"/>
    <w:multiLevelType w:val="multilevel"/>
    <w:tmpl w:val="7E24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0873E3"/>
    <w:multiLevelType w:val="multilevel"/>
    <w:tmpl w:val="3374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491856"/>
    <w:multiLevelType w:val="hybridMultilevel"/>
    <w:tmpl w:val="2DC8BE76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36AA3"/>
    <w:multiLevelType w:val="multilevel"/>
    <w:tmpl w:val="5ECAE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CD1864"/>
    <w:multiLevelType w:val="hybridMultilevel"/>
    <w:tmpl w:val="325C7B2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A3F07"/>
    <w:multiLevelType w:val="hybridMultilevel"/>
    <w:tmpl w:val="9864CA6A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E0E6A0D"/>
    <w:multiLevelType w:val="multilevel"/>
    <w:tmpl w:val="76A0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385838"/>
    <w:multiLevelType w:val="multilevel"/>
    <w:tmpl w:val="17F46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72684148"/>
    <w:multiLevelType w:val="hybridMultilevel"/>
    <w:tmpl w:val="6A98DC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640A4"/>
    <w:multiLevelType w:val="hybridMultilevel"/>
    <w:tmpl w:val="37EEF196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6A74923"/>
    <w:multiLevelType w:val="hybridMultilevel"/>
    <w:tmpl w:val="D1F2CC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B00D2"/>
    <w:multiLevelType w:val="hybridMultilevel"/>
    <w:tmpl w:val="9A2643C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C9825DC"/>
    <w:multiLevelType w:val="multilevel"/>
    <w:tmpl w:val="3374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"/>
  </w:num>
  <w:num w:numId="5">
    <w:abstractNumId w:val="22"/>
  </w:num>
  <w:num w:numId="6">
    <w:abstractNumId w:val="16"/>
  </w:num>
  <w:num w:numId="7">
    <w:abstractNumId w:val="18"/>
  </w:num>
  <w:num w:numId="8">
    <w:abstractNumId w:val="0"/>
  </w:num>
  <w:num w:numId="9">
    <w:abstractNumId w:val="12"/>
  </w:num>
  <w:num w:numId="10">
    <w:abstractNumId w:val="3"/>
  </w:num>
  <w:num w:numId="11">
    <w:abstractNumId w:val="5"/>
  </w:num>
  <w:num w:numId="12">
    <w:abstractNumId w:val="8"/>
  </w:num>
  <w:num w:numId="13">
    <w:abstractNumId w:val="15"/>
  </w:num>
  <w:num w:numId="14">
    <w:abstractNumId w:val="2"/>
  </w:num>
  <w:num w:numId="15">
    <w:abstractNumId w:val="19"/>
  </w:num>
  <w:num w:numId="16">
    <w:abstractNumId w:val="21"/>
  </w:num>
  <w:num w:numId="17">
    <w:abstractNumId w:val="7"/>
  </w:num>
  <w:num w:numId="18">
    <w:abstractNumId w:val="14"/>
  </w:num>
  <w:num w:numId="19">
    <w:abstractNumId w:val="10"/>
  </w:num>
  <w:num w:numId="20">
    <w:abstractNumId w:val="13"/>
  </w:num>
  <w:num w:numId="21">
    <w:abstractNumId w:val="17"/>
  </w:num>
  <w:num w:numId="22">
    <w:abstractNumId w:val="2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E0"/>
    <w:rsid w:val="000772F2"/>
    <w:rsid w:val="000C347D"/>
    <w:rsid w:val="001B1E43"/>
    <w:rsid w:val="001C4441"/>
    <w:rsid w:val="001E3F3C"/>
    <w:rsid w:val="001E4746"/>
    <w:rsid w:val="002161D7"/>
    <w:rsid w:val="0022172E"/>
    <w:rsid w:val="0029773A"/>
    <w:rsid w:val="002F4279"/>
    <w:rsid w:val="003156E0"/>
    <w:rsid w:val="003C117C"/>
    <w:rsid w:val="003D6C74"/>
    <w:rsid w:val="003E1644"/>
    <w:rsid w:val="00434DE8"/>
    <w:rsid w:val="00452ECD"/>
    <w:rsid w:val="00477F5F"/>
    <w:rsid w:val="005311D6"/>
    <w:rsid w:val="00562A2A"/>
    <w:rsid w:val="005A4300"/>
    <w:rsid w:val="00692EF4"/>
    <w:rsid w:val="00734370"/>
    <w:rsid w:val="00764C38"/>
    <w:rsid w:val="007711F7"/>
    <w:rsid w:val="007A6560"/>
    <w:rsid w:val="007C1F47"/>
    <w:rsid w:val="007C691D"/>
    <w:rsid w:val="00802B6D"/>
    <w:rsid w:val="008A4FDE"/>
    <w:rsid w:val="008D1343"/>
    <w:rsid w:val="008F347B"/>
    <w:rsid w:val="0093653E"/>
    <w:rsid w:val="00986C88"/>
    <w:rsid w:val="009C0951"/>
    <w:rsid w:val="00A45ABE"/>
    <w:rsid w:val="00A8490D"/>
    <w:rsid w:val="00AE1745"/>
    <w:rsid w:val="00B40E04"/>
    <w:rsid w:val="00BB3D4F"/>
    <w:rsid w:val="00C01E1E"/>
    <w:rsid w:val="00C27C76"/>
    <w:rsid w:val="00C75988"/>
    <w:rsid w:val="00CB40F6"/>
    <w:rsid w:val="00D02B3A"/>
    <w:rsid w:val="00D354D0"/>
    <w:rsid w:val="00D45215"/>
    <w:rsid w:val="00DE1318"/>
    <w:rsid w:val="00DF297B"/>
    <w:rsid w:val="00E63864"/>
    <w:rsid w:val="00E90C31"/>
    <w:rsid w:val="00F2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85308D"/>
  <w15:chartTrackingRefBased/>
  <w15:docId w15:val="{5B5BC20E-D899-4863-A5A4-165B4BF4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56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56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11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E4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4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7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73A"/>
  </w:style>
  <w:style w:type="paragraph" w:styleId="Footer">
    <w:name w:val="footer"/>
    <w:basedOn w:val="Normal"/>
    <w:link w:val="FooterChar"/>
    <w:uiPriority w:val="99"/>
    <w:unhideWhenUsed/>
    <w:rsid w:val="00297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73A"/>
  </w:style>
  <w:style w:type="character" w:styleId="Strong">
    <w:name w:val="Strong"/>
    <w:basedOn w:val="DefaultParagraphFont"/>
    <w:uiPriority w:val="22"/>
    <w:qFormat/>
    <w:rsid w:val="00B40E0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77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2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2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2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MHSS</dc:creator>
  <cp:keywords/>
  <dc:description/>
  <cp:lastModifiedBy>Kristine Endjambi</cp:lastModifiedBy>
  <cp:revision>4</cp:revision>
  <dcterms:created xsi:type="dcterms:W3CDTF">2025-08-06T07:59:00Z</dcterms:created>
  <dcterms:modified xsi:type="dcterms:W3CDTF">2025-08-15T06:53:00Z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768d5eb7-d3aa-4b6b-a5af-8a4ef9b14650</vt:lpwstr>
  </property>
</Properties>
</file>